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7E" w:rsidRDefault="009B107E" w:rsidP="009B10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8"/>
          <w:szCs w:val="28"/>
          <w:lang w:eastAsia="ru-RU"/>
        </w:rPr>
        <w:t>КВАРТИРА №</w:t>
      </w:r>
      <w:r w:rsidR="00F55250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8"/>
          <w:szCs w:val="28"/>
          <w:lang w:eastAsia="ru-RU"/>
        </w:rPr>
        <w:t>50 (ЕЩЕ ДО РЕВОЛЮЦИИ БЫЛА ОБЪЕДИНЕНА С</w:t>
      </w:r>
      <w:r w:rsidR="00F55250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8"/>
          <w:szCs w:val="28"/>
          <w:lang w:eastAsia="ru-RU"/>
        </w:rPr>
        <w:t>КВАРТИРОЙ №</w:t>
      </w:r>
      <w:r w:rsidR="00F55250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8"/>
          <w:szCs w:val="28"/>
          <w:lang w:eastAsia="ru-RU"/>
        </w:rPr>
        <w:t>41)</w:t>
      </w:r>
    </w:p>
    <w:p w:rsidR="00F55250" w:rsidRDefault="00F55250" w:rsidP="009B10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8"/>
          <w:szCs w:val="28"/>
          <w:lang w:eastAsia="ru-RU"/>
        </w:rPr>
      </w:pPr>
    </w:p>
    <w:p w:rsidR="002D590E" w:rsidRDefault="002D590E" w:rsidP="002D59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М.А. Булгаков в квартире № 50</w:t>
      </w:r>
    </w:p>
    <w:p w:rsidR="00F55250" w:rsidRDefault="00F55250" w:rsidP="002D59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D590E" w:rsidRPr="002D590E" w:rsidRDefault="002D590E" w:rsidP="002D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С 1921 по 1924 год здесь жил Михаил Булгаков со своей женой Татьяной Лаппа.</w:t>
      </w:r>
    </w:p>
    <w:p w:rsidR="002D590E" w:rsidRPr="009B107E" w:rsidRDefault="002D590E" w:rsidP="002D590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сентября 1921 года Михаил Булгаков приехал в холодную Москву </w:t>
      </w:r>
      <w:r w:rsidRPr="00F552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52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намерением поселиться в ней навсегда и стать писателем. В письме к матери от 17 ноября 1921 года он пишет: «В числе погибших быть не желаю». Для того чтобы выжить в Москве образца 1921 года, в первую очередь, нужны были свой угол и крыша над головой: «Человеку нужна комната. Без комнаты человек не может жить. Мой полушубок заменял мне пальто, одеяло, скатерть и постель. Но он не мог заменить комнаты, так же как и чемоданчик» (</w:t>
      </w:r>
      <w:r w:rsidR="00F552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«Воспоминание», 1924). В первые дни положение Булгакова было отчаянное: «Я отправился в жилотдел и простоял в очереди 6 часов. В начале седьмого часа я в хвосте людей, подобных мне, вошел в кабинет, где мне сказали, что я</w:t>
      </w:r>
      <w:r w:rsidR="00F552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получить комнату через два месяца» (</w:t>
      </w:r>
      <w:r w:rsidR="00F552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же). Неожиданно ему и его жене Татьяне Николаевне повезло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пустил жить в свою комнату Андрей Земский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 Надежды Булгаковой (сестры писателя). Он уезжал в Киев и</w:t>
      </w:r>
      <w:r w:rsidR="00CD14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оставить Булгакову свою комнату в ныне знаменитой коммунальной квартире № 50.</w:t>
      </w:r>
    </w:p>
    <w:p w:rsidR="002D590E" w:rsidRPr="009B107E" w:rsidRDefault="002D590E" w:rsidP="002D590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Николаевна вспоминала, что им постоянно угрожали выселением:</w:t>
      </w:r>
    </w:p>
    <w:p w:rsidR="002D590E" w:rsidRPr="009B107E" w:rsidRDefault="002D590E" w:rsidP="002D590E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«…В домоуправлении были горькие </w:t>
      </w:r>
      <w:proofErr w:type="gramStart"/>
      <w:r w:rsidRPr="009B1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пьяницы</w:t>
      </w:r>
      <w:proofErr w:type="gramEnd"/>
      <w:r w:rsidRPr="009B1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они все ходили к нам, грозили выписать Андрея и нас не прописывали, хотели, видно, денег, а у нас не было. Прописали нас только тогда, когда Михаил написал Крупской. И она прислала в наш домком записку </w:t>
      </w:r>
      <w:r>
        <w:rPr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D14D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“</w:t>
      </w:r>
      <w:r w:rsidRPr="009B1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Прошу прописать…”».</w:t>
      </w:r>
    </w:p>
    <w:p w:rsidR="002D590E" w:rsidRPr="009B107E" w:rsidRDefault="002D590E" w:rsidP="002D590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Крупской помогла Булгакову остаться в Москве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жилтовариществе ему больше не угрожали, однако, беспокойные жильцы «проклятой» квартиры по-прежнему не давали свободно вздохнуть. Состав квартирантов был пролетарски разношерстным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краскотер 2-й Московской фабрики Гознак, приемщица Первой образцовой типографии, торговка пирожками, рабочий хлебопекарни, наборщик профтехшколы, торговец в лавке, безработные и т.д. Неоднократно Булгакову приходилось вызывать милицию в склочную квартиру.</w:t>
      </w:r>
    </w:p>
    <w:p w:rsidR="002D590E" w:rsidRPr="009B107E" w:rsidRDefault="002D590E" w:rsidP="002D590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практически в полном составе перекочевали на страницы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булгаковской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прозы: </w:t>
      </w:r>
      <w:proofErr w:type="gram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Горячева (знаменитая Аннушка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 гибели Берлиоза в</w:t>
      </w:r>
      <w:r w:rsidR="006701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«Мастере и Маргарите» и пожара в знаменитом доме И.Д.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Пигита</w:t>
      </w:r>
      <w:proofErr w:type="spellEnd"/>
      <w:r w:rsidR="006701EE" w:rsidRPr="0067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«№ 13.</w:t>
      </w:r>
      <w:proofErr w:type="gram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Эльпит-рабкоммуна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6701EE" w:rsidRPr="006701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милиции с женой и их сын, часто забегавший к Булгаковым («Псалом»), запойные пьяницы типографские рабочие («Самогонное озеро») и др.</w:t>
      </w:r>
      <w:proofErr w:type="gramEnd"/>
    </w:p>
    <w:p w:rsidR="002D590E" w:rsidRPr="009B107E" w:rsidRDefault="00A452E7" w:rsidP="002D590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все же</w:t>
      </w:r>
      <w:r w:rsidR="002D590E"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Булгакова теперь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590E"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крыша над головой и свой угол, в котором Татьяна Николаевна пыталась создать иллюзию минимального уюта:</w:t>
      </w:r>
    </w:p>
    <w:p w:rsidR="002D590E" w:rsidRPr="009B107E" w:rsidRDefault="002D590E" w:rsidP="002D590E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«Ничего не было. А там, значит, диван был, зеркало большое, письменный стол, походная кровать складная, два шкафчика было… Один потом Мария Даниловна забрала и походную кровать тоже. Кресло какое-то дырявое было. Потом, как-то я иду по улице, вдруг: “</w:t>
      </w:r>
      <w:proofErr w:type="spellStart"/>
      <w:r w:rsidRPr="009B1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Тасечка</w:t>
      </w:r>
      <w:proofErr w:type="spellEnd"/>
      <w:r w:rsidRPr="009B1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здравствуйте!” </w:t>
      </w:r>
      <w:r>
        <w:rPr>
          <w:color w:val="000000"/>
          <w:sz w:val="27"/>
          <w:szCs w:val="27"/>
        </w:rPr>
        <w:t>–</w:t>
      </w:r>
      <w:r w:rsidR="00A452E7">
        <w:rPr>
          <w:color w:val="000000"/>
          <w:sz w:val="27"/>
          <w:szCs w:val="27"/>
        </w:rPr>
        <w:t xml:space="preserve"> </w:t>
      </w:r>
      <w:r w:rsidRPr="009B1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жена казначея из Саратова. Она уже в Москве жила, и у них наш стол оказался и полное собрание Данилевского. И вот, мы с Михаилом тащили это через всю Москву. Старинный очень стол, еще у моей прабабушки был. Еще заплатили Михаилу за что-то, он будуарную мебель купил. Она, правда, не подходила к нашей комнате, потому что у нас высокий потолок был, а мебель такая миниатюрная. Но комнату украшала хорошо».</w:t>
      </w:r>
    </w:p>
    <w:p w:rsidR="002D590E" w:rsidRPr="009B107E" w:rsidRDefault="002D590E" w:rsidP="002D590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жилья нужен был еще и заработок: </w:t>
      </w:r>
      <w:proofErr w:type="gram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Булгаков с невероятной энергией начинает добывать себе средства к существованию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был корреспо</w:t>
      </w:r>
      <w:r w:rsidR="00A45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ндентом в «Торгово-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промышленном вестнике», секретарем в</w:t>
      </w:r>
      <w:r w:rsidR="00A45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Литературном отделе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Главполитпросвета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руководила Н.К.</w:t>
      </w:r>
      <w:r w:rsidR="00A45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Крупская, служил в Научно-техническом комитете Военно-воздушной академии им. Н. Е. Жуковского, писал рассказы, фельетоны и заметки для газет «Гудок» и «Накануне», печатался иногда в тонких московских журналах и т.д.</w:t>
      </w:r>
      <w:proofErr w:type="gram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этой квартире он написал роман «Белая гвардия», фантастические повести «Роковые яйца» и «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Дьяволиада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Рассказы, повествующие о жизни Булгакова в шумной и склочной коммуналке составили</w:t>
      </w:r>
      <w:proofErr w:type="gram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рник «Трактат о</w:t>
      </w:r>
      <w:r w:rsidR="00A45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жилище» (1926). 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знаменитом доме-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рабкоммуне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Булгакова окружали не только пролетарии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центральную часть дома занимали художественные мастерские, в одной из которых работал Георгий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Якулов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приятель Булгакова и Татьяны Николаевны.</w:t>
      </w:r>
    </w:p>
    <w:p w:rsidR="002D590E" w:rsidRPr="009B107E" w:rsidRDefault="002D590E" w:rsidP="002D590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поселившись в «нехорошей квартире» №</w:t>
      </w:r>
      <w:r w:rsidR="00A45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proofErr w:type="gram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Садовой, Булгаков, проклиная соседей («я положительно не знаю, что делать со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сволочью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населяет эту квартиру»), начал мечтать об отдельном тихом жилье. Но съехать он смог только осенью 1924 года.</w:t>
      </w:r>
    </w:p>
    <w:p w:rsidR="002D590E" w:rsidRPr="009B107E" w:rsidRDefault="002D590E" w:rsidP="002D5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07E" w:rsidRPr="009B107E" w:rsidRDefault="009B107E" w:rsidP="009B107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1900–1910-е</w:t>
      </w:r>
    </w:p>
    <w:p w:rsidR="009B107E" w:rsidRDefault="009B107E" w:rsidP="009B10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революции в </w:t>
      </w:r>
      <w:r w:rsidR="00A45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квартирах шестого подъезда дома №</w:t>
      </w:r>
      <w:r w:rsidR="00A45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 Большой Садовой располагалось общежитие московских Высших женских курсов.</w:t>
      </w:r>
      <w:proofErr w:type="gram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 xml:space="preserve">На втором этаже курсистки жили в 37-й, 46-й и 47-й квартирах, на третьем </w:t>
      </w:r>
      <w:r>
        <w:rPr>
          <w:color w:val="000000"/>
          <w:sz w:val="27"/>
          <w:szCs w:val="27"/>
        </w:rPr>
        <w:t>–</w:t>
      </w:r>
      <w:r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 xml:space="preserve"> в 48-й, 49-й, и на четвертом </w:t>
      </w:r>
      <w:r>
        <w:rPr>
          <w:color w:val="000000"/>
          <w:sz w:val="27"/>
          <w:szCs w:val="27"/>
        </w:rPr>
        <w:t>–</w:t>
      </w:r>
      <w:r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 xml:space="preserve"> в 41-й, 50-й, 51-й. Илья </w:t>
      </w:r>
      <w:proofErr w:type="spellStart"/>
      <w:r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>Пигит</w:t>
      </w:r>
      <w:proofErr w:type="spellEnd"/>
      <w:r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 xml:space="preserve"> строил свой доходный дом для интеллигенции </w:t>
      </w:r>
      <w:r>
        <w:rPr>
          <w:color w:val="000000"/>
          <w:sz w:val="27"/>
          <w:szCs w:val="27"/>
        </w:rPr>
        <w:t>–</w:t>
      </w:r>
      <w:r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 xml:space="preserve"> со студиями для художников, с четырех- и пятикомнатными квартирами, с ваннами и теле</w:t>
      </w:r>
      <w:r w:rsidR="00A452E7"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>фонами. И только в 6-м подъезде</w:t>
      </w:r>
      <w:r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 xml:space="preserve"> перед сдачей в</w:t>
      </w:r>
      <w:r w:rsidR="00A452E7">
        <w:rPr>
          <w:rFonts w:ascii="Times Ten Cyrillic" w:hAnsi="Times Ten Cyrillic"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>эксплуатацию пос</w:t>
      </w:r>
      <w:r w:rsidR="00A452E7"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>ледней части дома</w:t>
      </w:r>
      <w:r>
        <w:rPr>
          <w:rFonts w:ascii="Times Ten Cyrillic" w:hAnsi="Times Ten Cyrillic"/>
          <w:color w:val="000000"/>
          <w:sz w:val="27"/>
          <w:szCs w:val="27"/>
          <w:shd w:val="clear" w:color="auto" w:fill="FFFFFF"/>
        </w:rPr>
        <w:t xml:space="preserve"> были частично перепланированы квартиры под общежитие Высших женских курсов.</w:t>
      </w:r>
    </w:p>
    <w:p w:rsidR="009B107E" w:rsidRDefault="00646189" w:rsidP="00A75AD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9B107E" w:rsidRPr="009B107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Общежитие Высших женских курсов Герье</w:t>
        </w:r>
      </w:hyperlink>
    </w:p>
    <w:p w:rsidR="00A75AD6" w:rsidRDefault="00A75AD6" w:rsidP="00A75AD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07E" w:rsidRPr="009B107E" w:rsidRDefault="009B107E" w:rsidP="009B107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1920</w:t>
      </w:r>
      <w:r w:rsidR="00A75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9B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1930-е</w:t>
      </w:r>
    </w:p>
    <w:p w:rsidR="009B107E" w:rsidRPr="009B107E" w:rsidRDefault="009B107E" w:rsidP="009B10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1918 году доходный дом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Пигита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национализирован и превратился в</w:t>
      </w:r>
      <w:r w:rsidR="00A7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коммуну бывшей типографии И.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Машистова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(Сама типография до революции находилась на противоположной стороне Большой Садовой). Московские высшие женские курсы были закрыты, и шесть из девяти квартир объединили по две: 46/37, 48/39, 50/41. Для этого между ними были удалены стены</w:t>
      </w:r>
      <w:r w:rsidR="00A75A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итоге такой перепланировки квартиры оказались без ванных комнат. Первый в Москве дом-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рабкоммуна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заселялся работниками московских типографий и в таком виде просуществовал до 1922 года, причем в документах того времени особенно подчеркивалось, что за это время рабочие привели «своим аккуратным ведением хозяйства в образцовое со</w:t>
      </w:r>
      <w:r w:rsidR="00A7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стояние владение». Тем не </w:t>
      </w:r>
      <w:proofErr w:type="gramStart"/>
      <w:r w:rsidR="00A75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 1922 года, несмотря на протесты отдельных жильцов, анонимную жалобу и последовавший за ней визит специальной инспекции, дом все же был передан в эксплуатацию новому Жилищному Товариществу.</w:t>
      </w:r>
    </w:p>
    <w:p w:rsidR="009B107E" w:rsidRPr="009B107E" w:rsidRDefault="009B107E" w:rsidP="009B107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одна из немногих квартир, в которой постоянно происходили перемещения жильцов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1925 году от прежнего состава осталась только половина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Федоровна Горячева (знаменитая Аннушка) и ее сын Михаил переехали в</w:t>
      </w:r>
      <w:r w:rsidR="00A7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квартиру № 33, торговка пирожками Ирина Павловна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Трубицына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выписалась в неизвестном направлении, Иван Сергеевич Епишин переехал в квартиру №</w:t>
      </w:r>
      <w:r w:rsidR="00A7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13, Наталья Егоровна Кулагина переселилась в квартиру №</w:t>
      </w:r>
      <w:r w:rsidR="00646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35, Михаил Булгаков выехал из</w:t>
      </w:r>
      <w:proofErr w:type="gram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в ноябре 1924 года, его жена Татьяна Николаевна Лаппа переехала в квартиру №</w:t>
      </w:r>
      <w:r w:rsidR="00646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к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Манасевичам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еще два жильца</w:t>
      </w:r>
      <w:r w:rsidR="00646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Соломон Львович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Агронович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Яков Аркадьевич Гитин</w:t>
      </w:r>
      <w:r w:rsidR="0064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выписались из квартиры и</w:t>
      </w:r>
      <w:r w:rsidR="00646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не появлялись в списках и документах дома. Вместо них появились трое новых жильцов со стороны </w:t>
      </w:r>
      <w:r>
        <w:rPr>
          <w:color w:val="000000"/>
          <w:sz w:val="27"/>
          <w:szCs w:val="27"/>
        </w:rPr>
        <w:t>–</w:t>
      </w:r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Овчинников, П.П. </w:t>
      </w:r>
      <w:proofErr w:type="spellStart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9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С.И. Авакумов.</w:t>
      </w:r>
    </w:p>
    <w:sectPr w:rsidR="009B107E" w:rsidRPr="009B107E" w:rsidSect="00F552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Ten 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F2C"/>
    <w:multiLevelType w:val="multilevel"/>
    <w:tmpl w:val="0B9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80AAB"/>
    <w:multiLevelType w:val="multilevel"/>
    <w:tmpl w:val="E5E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FF"/>
    <w:rsid w:val="002D2BBE"/>
    <w:rsid w:val="002D590E"/>
    <w:rsid w:val="005331FF"/>
    <w:rsid w:val="00604193"/>
    <w:rsid w:val="00646189"/>
    <w:rsid w:val="006701EE"/>
    <w:rsid w:val="009B107E"/>
    <w:rsid w:val="00A452E7"/>
    <w:rsid w:val="00A75AD6"/>
    <w:rsid w:val="00CD14DF"/>
    <w:rsid w:val="00F5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1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1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1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10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10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tro">
    <w:name w:val="intro"/>
    <w:basedOn w:val="a"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07E"/>
    <w:rPr>
      <w:color w:val="0000FF"/>
      <w:u w:val="single"/>
    </w:rPr>
  </w:style>
  <w:style w:type="paragraph" w:customStyle="1" w:styleId="wp-caption-text">
    <w:name w:val="wp-caption-text"/>
    <w:basedOn w:val="a"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">
    <w:name w:val="share-count"/>
    <w:basedOn w:val="a0"/>
    <w:rsid w:val="009B107E"/>
  </w:style>
  <w:style w:type="character" w:customStyle="1" w:styleId="sharing-screen-reader-text">
    <w:name w:val="sharing-screen-reader-text"/>
    <w:basedOn w:val="a0"/>
    <w:rsid w:val="009B1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1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1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1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10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10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tro">
    <w:name w:val="intro"/>
    <w:basedOn w:val="a"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07E"/>
    <w:rPr>
      <w:color w:val="0000FF"/>
      <w:u w:val="single"/>
    </w:rPr>
  </w:style>
  <w:style w:type="paragraph" w:customStyle="1" w:styleId="wp-caption-text">
    <w:name w:val="wp-caption-text"/>
    <w:basedOn w:val="a"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">
    <w:name w:val="share-count"/>
    <w:basedOn w:val="a0"/>
    <w:rsid w:val="009B107E"/>
  </w:style>
  <w:style w:type="character" w:customStyle="1" w:styleId="sharing-screen-reader-text">
    <w:name w:val="sharing-screen-reader-text"/>
    <w:basedOn w:val="a0"/>
    <w:rsid w:val="009B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2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2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7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5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m10.bulgakovmuseum.ru/photo/kvartira-47-obshhezhitie-vysshih-zhenskih-kursov-ge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586F-4F4B-4BCF-95F1-FD83E96A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5</cp:revision>
  <dcterms:created xsi:type="dcterms:W3CDTF">2020-04-28T12:18:00Z</dcterms:created>
  <dcterms:modified xsi:type="dcterms:W3CDTF">2020-04-28T12:28:00Z</dcterms:modified>
</cp:coreProperties>
</file>